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7F" w:rsidRDefault="004726E9">
      <w:r>
        <w:t>Sex and the Spirit</w:t>
      </w:r>
    </w:p>
    <w:p w:rsidR="004726E9" w:rsidRDefault="004726E9" w:rsidP="00D94957">
      <w:pPr>
        <w:ind w:firstLine="720"/>
        <w:rPr>
          <w:i/>
        </w:rPr>
      </w:pPr>
      <w:r>
        <w:rPr>
          <w:i/>
        </w:rPr>
        <w:t>This is the third and final article in a serie</w:t>
      </w:r>
      <w:r w:rsidR="008055BA">
        <w:rPr>
          <w:i/>
        </w:rPr>
        <w:t>s on sex and Christianity.</w:t>
      </w:r>
    </w:p>
    <w:p w:rsidR="008055BA" w:rsidRDefault="008055BA">
      <w:pPr>
        <w:rPr>
          <w:i/>
        </w:rPr>
      </w:pPr>
    </w:p>
    <w:p w:rsidR="008055BA" w:rsidRDefault="008055BA">
      <w:r>
        <w:t>Recently I gave a talk about sex and Christianity in a church as part of a series organised by a</w:t>
      </w:r>
      <w:r w:rsidR="005E2578">
        <w:t xml:space="preserve"> social worker.  Afterwards </w:t>
      </w:r>
      <w:r>
        <w:t xml:space="preserve">she commented with surprise that, despite being involved in fostering human well-being throughout her career, she had never connected sexuality and spirituality.  Her response is not unusual.  I suspect that sex and money are the two areas that church people are most likely to compartmentalise away from their faith.  The history of sex in the tradition, which was the focus of the </w:t>
      </w:r>
      <w:r w:rsidR="00072BF0">
        <w:t>previous</w:t>
      </w:r>
      <w:r>
        <w:t xml:space="preserve"> article in this series, gives us a sense of why that </w:t>
      </w:r>
      <w:r w:rsidR="003F04C7">
        <w:t>is so</w:t>
      </w:r>
      <w:r>
        <w:t xml:space="preserve"> as regards to sex: it has been a struggle for Christianity to affirm sexuality as a good thing in and of itself.  As for money, well – is there any greater idolatry than our love of money?</w:t>
      </w:r>
    </w:p>
    <w:p w:rsidR="008055BA" w:rsidRDefault="008055BA"/>
    <w:p w:rsidR="00B96925" w:rsidRDefault="008055BA">
      <w:r>
        <w:t xml:space="preserve">In the last few decades there has been an explosion of interest in the link between sexuality and spirituality.  Writers as diverse as journalist Jo </w:t>
      </w:r>
      <w:proofErr w:type="spellStart"/>
      <w:r>
        <w:t>Ind</w:t>
      </w:r>
      <w:proofErr w:type="spellEnd"/>
      <w:r>
        <w:t xml:space="preserve"> (</w:t>
      </w:r>
      <w:r>
        <w:rPr>
          <w:i/>
        </w:rPr>
        <w:t>Memories of Bless: God, sex and us</w:t>
      </w:r>
      <w:r>
        <w:t>), theologian Philip Sheldrake (</w:t>
      </w:r>
      <w:r>
        <w:rPr>
          <w:i/>
        </w:rPr>
        <w:t>Befriending our desires</w:t>
      </w:r>
      <w:r>
        <w:t xml:space="preserve">), Biblicist David </w:t>
      </w:r>
      <w:proofErr w:type="spellStart"/>
      <w:r>
        <w:t>Carr</w:t>
      </w:r>
      <w:proofErr w:type="spellEnd"/>
      <w:r>
        <w:t xml:space="preserve"> (</w:t>
      </w:r>
      <w:r>
        <w:rPr>
          <w:i/>
        </w:rPr>
        <w:t xml:space="preserve">The Erotic Word: Sexuality, </w:t>
      </w:r>
      <w:r w:rsidR="003F04C7">
        <w:rPr>
          <w:i/>
        </w:rPr>
        <w:t>s</w:t>
      </w:r>
      <w:r>
        <w:rPr>
          <w:i/>
        </w:rPr>
        <w:t>pirituality and the Bible</w:t>
      </w:r>
      <w:r>
        <w:t xml:space="preserve">) and many more </w:t>
      </w:r>
      <w:r w:rsidR="003C7CF5">
        <w:t xml:space="preserve">have plumbed </w:t>
      </w:r>
      <w:r w:rsidR="003F04C7">
        <w:t xml:space="preserve">scripture and </w:t>
      </w:r>
      <w:r w:rsidR="003C7CF5">
        <w:t xml:space="preserve">the tradition looking for a link.  And they have found it.  </w:t>
      </w:r>
      <w:r w:rsidR="00B96925">
        <w:t>Well</w:t>
      </w:r>
      <w:r w:rsidR="003C7CF5">
        <w:t xml:space="preserve"> before late medieval</w:t>
      </w:r>
      <w:r w:rsidR="00B96925">
        <w:t xml:space="preserve"> </w:t>
      </w:r>
      <w:r w:rsidR="003C7CF5">
        <w:t xml:space="preserve">mystics </w:t>
      </w:r>
      <w:r w:rsidR="00B96925">
        <w:t xml:space="preserve">began </w:t>
      </w:r>
      <w:r w:rsidR="003C7CF5">
        <w:t xml:space="preserve">writing commentary on the Song of Songs, as early as the late </w:t>
      </w:r>
      <w:r w:rsidR="00B96925">
        <w:t xml:space="preserve">fifth century the Christian theologian and philosopher </w:t>
      </w:r>
      <w:proofErr w:type="spellStart"/>
      <w:r w:rsidR="00B96925">
        <w:t>Psuedo</w:t>
      </w:r>
      <w:proofErr w:type="spellEnd"/>
      <w:r w:rsidR="00B96925">
        <w:t xml:space="preserve">-Dionysius the </w:t>
      </w:r>
      <w:proofErr w:type="spellStart"/>
      <w:r w:rsidR="00B96925">
        <w:t>Areopagite</w:t>
      </w:r>
      <w:proofErr w:type="spellEnd"/>
      <w:r w:rsidR="00B96925">
        <w:t xml:space="preserve"> identified God with </w:t>
      </w:r>
      <w:proofErr w:type="spellStart"/>
      <w:r w:rsidR="00B96925">
        <w:t>eros</w:t>
      </w:r>
      <w:proofErr w:type="spellEnd"/>
      <w:r w:rsidR="00B96925">
        <w:t xml:space="preserve"> as the one who causes and is love.  </w:t>
      </w:r>
    </w:p>
    <w:p w:rsidR="00B96925" w:rsidRDefault="00B96925"/>
    <w:p w:rsidR="007C58BF" w:rsidRDefault="00B96925">
      <w:r>
        <w:t xml:space="preserve">Looking beyond the tradition, </w:t>
      </w:r>
      <w:r w:rsidR="003F04C7">
        <w:t>the enquiry into lived human experience has proved equally fruitful.  Roman Catholic theologian Joan Timmerman</w:t>
      </w:r>
      <w:r w:rsidR="00072BF0">
        <w:t xml:space="preserve">, in </w:t>
      </w:r>
      <w:r w:rsidR="003F04C7">
        <w:rPr>
          <w:i/>
        </w:rPr>
        <w:t>Sexuality and Spiritual Growth</w:t>
      </w:r>
      <w:r w:rsidR="00072BF0">
        <w:rPr>
          <w:i/>
        </w:rPr>
        <w:t>,</w:t>
      </w:r>
      <w:r w:rsidR="003F04C7">
        <w:t xml:space="preserve"> argues that sexuality can function in human life as a sacramental reality, integral to spiritual growth.  Both </w:t>
      </w:r>
      <w:r w:rsidR="00072BF0">
        <w:t xml:space="preserve">sexuality and spirituality </w:t>
      </w:r>
      <w:r w:rsidR="003F04C7">
        <w:t xml:space="preserve">are about personal relationship.  Both are involved in identity.  Both </w:t>
      </w:r>
      <w:r w:rsidR="00072BF0">
        <w:t>can touch</w:t>
      </w:r>
      <w:r w:rsidR="003F04C7">
        <w:t xml:space="preserve"> transcendence.</w:t>
      </w:r>
      <w:r w:rsidR="00154E29">
        <w:t xml:space="preserve">  Both may enable us to become moral agents, capable of responsible and ethical action in the world.  </w:t>
      </w:r>
    </w:p>
    <w:p w:rsidR="007C58BF" w:rsidRDefault="007C58BF"/>
    <w:p w:rsidR="00557A49" w:rsidRPr="00D91906" w:rsidRDefault="00154E29" w:rsidP="00557A49">
      <w:pPr>
        <w:rPr>
          <w:rFonts w:cs="Calibri"/>
        </w:rPr>
      </w:pPr>
      <w:r>
        <w:t>The integration of sexuality and spirituality</w:t>
      </w:r>
      <w:r w:rsidR="007C58BF">
        <w:t xml:space="preserve"> is a life journey.  The evidence of ministerial sexual misconduct and abuse alerts us to the fact that knowing “the rules” is not enough.  Rather the journey is about accepting and integrating these two </w:t>
      </w:r>
      <w:r w:rsidR="005E2578">
        <w:t>i</w:t>
      </w:r>
      <w:r w:rsidR="007C58BF">
        <w:t xml:space="preserve">ntimate parts of our being. </w:t>
      </w:r>
      <w:r w:rsidR="00557A49">
        <w:t xml:space="preserve"> Our acceptance and responsible expression of our sexuality fosters spiritual growth</w:t>
      </w:r>
      <w:r w:rsidR="007C58BF" w:rsidRPr="00557A49">
        <w:rPr>
          <w:rFonts w:asciiTheme="minorHAnsi" w:hAnsiTheme="minorHAnsi" w:cstheme="minorHAnsi"/>
        </w:rPr>
        <w:t>.</w:t>
      </w:r>
      <w:r w:rsidR="007C58BF" w:rsidRPr="00E4381F">
        <w:rPr>
          <w:rFonts w:asciiTheme="minorHAnsi" w:hAnsiTheme="minorHAnsi" w:cstheme="minorHAnsi"/>
          <w:i/>
        </w:rPr>
        <w:t xml:space="preserve">  </w:t>
      </w:r>
      <w:r w:rsidR="00B02379">
        <w:rPr>
          <w:rFonts w:asciiTheme="minorHAnsi" w:hAnsiTheme="minorHAnsi" w:cstheme="minorHAnsi"/>
        </w:rPr>
        <w:t>Timmerman</w:t>
      </w:r>
      <w:r w:rsidR="00557A49">
        <w:rPr>
          <w:rFonts w:asciiTheme="minorHAnsi" w:hAnsiTheme="minorHAnsi" w:cstheme="minorHAnsi"/>
        </w:rPr>
        <w:t xml:space="preserve"> observes that our sexuality </w:t>
      </w:r>
      <w:r w:rsidR="00557A49" w:rsidRPr="00557A49">
        <w:rPr>
          <w:rFonts w:asciiTheme="minorHAnsi" w:hAnsiTheme="minorHAnsi" w:cstheme="minorHAnsi"/>
        </w:rPr>
        <w:t xml:space="preserve">provides </w:t>
      </w:r>
      <w:r w:rsidR="007C58BF" w:rsidRPr="00557A49">
        <w:rPr>
          <w:rFonts w:asciiTheme="minorHAnsi" w:hAnsiTheme="minorHAnsi" w:cstheme="minorHAnsi"/>
        </w:rPr>
        <w:t>rites of passage that also contain spiritual tasks and achievements</w:t>
      </w:r>
      <w:r w:rsidR="007C58BF" w:rsidRPr="00E4381F">
        <w:rPr>
          <w:rFonts w:asciiTheme="minorHAnsi" w:hAnsiTheme="minorHAnsi" w:cstheme="minorHAnsi"/>
          <w:i/>
        </w:rPr>
        <w:t xml:space="preserve"> </w:t>
      </w:r>
      <w:r w:rsidR="007C58BF" w:rsidRPr="00E4381F">
        <w:rPr>
          <w:rFonts w:asciiTheme="minorHAnsi" w:hAnsiTheme="minorHAnsi" w:cstheme="minorHAnsi"/>
        </w:rPr>
        <w:t>(2005, 578)</w:t>
      </w:r>
      <w:r w:rsidR="00557A49">
        <w:rPr>
          <w:rFonts w:asciiTheme="minorHAnsi" w:hAnsiTheme="minorHAnsi" w:cstheme="minorHAnsi"/>
        </w:rPr>
        <w:t xml:space="preserve">.  Consider these parallel developmental tasks: the awareness and acceptance of our sexual being relates to the self-knowledge and self-acceptance fostered by a healthy spirituality; perceiving the capacity and need for intimacy and allowing oneself to be vulnerable and open to another are important in sexual and spiritual maturity; and choosing committed love, celibate or partnered, to another person is akin to choosing committed love of God.  </w:t>
      </w:r>
      <w:r w:rsidR="00B02379">
        <w:rPr>
          <w:rFonts w:cs="Calibri"/>
          <w:iCs/>
        </w:rPr>
        <w:t>She</w:t>
      </w:r>
      <w:r w:rsidR="00557A49" w:rsidRPr="00D91906">
        <w:rPr>
          <w:rFonts w:cs="Calibri"/>
          <w:iCs/>
        </w:rPr>
        <w:t xml:space="preserve"> </w:t>
      </w:r>
      <w:r w:rsidR="00557A49">
        <w:rPr>
          <w:rFonts w:cs="Calibri"/>
          <w:iCs/>
        </w:rPr>
        <w:t xml:space="preserve">argues that moments in sexual development </w:t>
      </w:r>
      <w:r w:rsidR="00557A49" w:rsidRPr="00D91906">
        <w:rPr>
          <w:rFonts w:cs="Calibri"/>
          <w:iCs/>
        </w:rPr>
        <w:t>are</w:t>
      </w:r>
      <w:r w:rsidR="00557A49" w:rsidRPr="00D91906">
        <w:rPr>
          <w:rFonts w:cs="Calibri"/>
          <w:i/>
          <w:iCs/>
        </w:rPr>
        <w:t xml:space="preserve"> </w:t>
      </w:r>
      <w:r w:rsidR="00557A49" w:rsidRPr="00D91906">
        <w:rPr>
          <w:rFonts w:cs="Calibri"/>
        </w:rPr>
        <w:t xml:space="preserve">not just indicia of change, </w:t>
      </w:r>
      <w:r w:rsidR="00557A49">
        <w:rPr>
          <w:rFonts w:cs="Calibri"/>
        </w:rPr>
        <w:t xml:space="preserve">but rather </w:t>
      </w:r>
      <w:r w:rsidR="00557A49" w:rsidRPr="00D91906">
        <w:rPr>
          <w:rFonts w:cs="Calibri"/>
        </w:rPr>
        <w:t>they</w:t>
      </w:r>
      <w:r w:rsidR="00557A49" w:rsidRPr="00D91906">
        <w:rPr>
          <w:rFonts w:cs="Calibri"/>
          <w:i/>
          <w:iCs/>
        </w:rPr>
        <w:t xml:space="preserve"> </w:t>
      </w:r>
      <w:r w:rsidR="005E2578">
        <w:rPr>
          <w:rFonts w:cs="Calibri"/>
          <w:iCs/>
        </w:rPr>
        <w:t xml:space="preserve">can </w:t>
      </w:r>
      <w:r w:rsidR="00557A49" w:rsidRPr="00557A49">
        <w:rPr>
          <w:rFonts w:cs="Calibri"/>
          <w:iCs/>
        </w:rPr>
        <w:t>caus</w:t>
      </w:r>
      <w:r w:rsidR="005E2578">
        <w:rPr>
          <w:rFonts w:cs="Calibri"/>
          <w:iCs/>
        </w:rPr>
        <w:t>e</w:t>
      </w:r>
      <w:r w:rsidR="00557A49" w:rsidRPr="00557A49">
        <w:rPr>
          <w:rFonts w:cs="Calibri"/>
          <w:iCs/>
        </w:rPr>
        <w:t xml:space="preserve"> the shift </w:t>
      </w:r>
      <w:r w:rsidR="00557A49">
        <w:rPr>
          <w:rFonts w:cs="Calibri"/>
          <w:iCs/>
        </w:rPr>
        <w:t>“</w:t>
      </w:r>
      <w:r w:rsidR="00557A49" w:rsidRPr="00557A49">
        <w:rPr>
          <w:rFonts w:cs="Calibri"/>
          <w:iCs/>
        </w:rPr>
        <w:t>from child to adult, alone to connected, consumer of the emotional resources of humanit</w:t>
      </w:r>
      <w:r w:rsidR="00557A49">
        <w:rPr>
          <w:rFonts w:cs="Calibri"/>
          <w:iCs/>
        </w:rPr>
        <w:t>y to generator of life and love”</w:t>
      </w:r>
      <w:r w:rsidR="00557A49" w:rsidRPr="00557A49">
        <w:rPr>
          <w:rFonts w:cs="Calibri"/>
        </w:rPr>
        <w:t xml:space="preserve"> </w:t>
      </w:r>
      <w:r w:rsidR="00557A49" w:rsidRPr="00D91906">
        <w:rPr>
          <w:rFonts w:cs="Calibri"/>
        </w:rPr>
        <w:t>(</w:t>
      </w:r>
      <w:r w:rsidR="00D94957">
        <w:rPr>
          <w:rFonts w:cs="Calibri"/>
          <w:iCs/>
        </w:rPr>
        <w:t>2005,</w:t>
      </w:r>
      <w:r w:rsidR="00557A49" w:rsidRPr="00D91906">
        <w:rPr>
          <w:rFonts w:cs="Calibri"/>
          <w:i/>
          <w:iCs/>
        </w:rPr>
        <w:t xml:space="preserve"> </w:t>
      </w:r>
      <w:r w:rsidR="00557A49" w:rsidRPr="00D91906">
        <w:rPr>
          <w:rFonts w:cs="Calibri"/>
        </w:rPr>
        <w:t>579)</w:t>
      </w:r>
      <w:r w:rsidR="00557A49">
        <w:rPr>
          <w:rFonts w:cs="Calibri"/>
        </w:rPr>
        <w:t>.</w:t>
      </w:r>
      <w:r w:rsidR="00557A49" w:rsidRPr="00D91906">
        <w:rPr>
          <w:rFonts w:cs="Calibri"/>
        </w:rPr>
        <w:t xml:space="preserve">  Our sexuality, in other words, </w:t>
      </w:r>
      <w:r w:rsidR="00557A49">
        <w:rPr>
          <w:rFonts w:cs="Calibri"/>
        </w:rPr>
        <w:t xml:space="preserve">can </w:t>
      </w:r>
      <w:r w:rsidR="00557A49" w:rsidRPr="00D91906">
        <w:rPr>
          <w:rFonts w:cs="Calibri"/>
        </w:rPr>
        <w:t>call forth our growth into mature and faithful adulthood.</w:t>
      </w:r>
    </w:p>
    <w:p w:rsidR="007C58BF" w:rsidRPr="00E4381F" w:rsidRDefault="007C58BF" w:rsidP="007C58BF">
      <w:pPr>
        <w:rPr>
          <w:rFonts w:asciiTheme="minorHAnsi" w:hAnsiTheme="minorHAnsi" w:cstheme="minorHAnsi"/>
        </w:rPr>
      </w:pPr>
    </w:p>
    <w:p w:rsidR="00557A49" w:rsidRPr="009C53D8" w:rsidRDefault="00557A49">
      <w:r>
        <w:t xml:space="preserve">For many people faith has been a handmaiden to sexual development despite the sex-negative messages that the Church has given over the centuries.  For others religion has </w:t>
      </w:r>
      <w:r w:rsidR="002F4C09">
        <w:lastRenderedPageBreak/>
        <w:t>made integrating a</w:t>
      </w:r>
      <w:r w:rsidR="00F47A3A">
        <w:t xml:space="preserve"> </w:t>
      </w:r>
      <w:r>
        <w:t>healthy sexuality</w:t>
      </w:r>
      <w:r w:rsidR="002F4C09">
        <w:t xml:space="preserve"> and spirituality difficult</w:t>
      </w:r>
      <w:r>
        <w:t xml:space="preserve">, </w:t>
      </w:r>
      <w:r w:rsidR="002F4C09">
        <w:t xml:space="preserve">sometimes </w:t>
      </w:r>
      <w:r>
        <w:t xml:space="preserve">causing </w:t>
      </w:r>
      <w:r w:rsidR="002F4C09">
        <w:t>s</w:t>
      </w:r>
      <w:r>
        <w:t>hame</w:t>
      </w:r>
      <w:r w:rsidR="00E34460">
        <w:t xml:space="preserve"> </w:t>
      </w:r>
      <w:r w:rsidR="00B02379">
        <w:t xml:space="preserve">and pain particularly to people who find themselves outside of the traditionally accepted categories of heterosexual </w:t>
      </w:r>
      <w:r w:rsidR="002F4C09">
        <w:t>or</w:t>
      </w:r>
      <w:r w:rsidR="00B02379">
        <w:t xml:space="preserve"> married.  </w:t>
      </w:r>
      <w:r w:rsidR="009C53D8">
        <w:t xml:space="preserve">Young Christian women may continue to struggle to live their gender and sexuality in healthy ways (Sonya Sharma, </w:t>
      </w:r>
      <w:r w:rsidR="009C53D8">
        <w:rPr>
          <w:i/>
        </w:rPr>
        <w:t>Good Girls, Good Sex</w:t>
      </w:r>
      <w:r w:rsidR="009C53D8">
        <w:t xml:space="preserve">), as </w:t>
      </w:r>
      <w:r w:rsidR="002F4C09">
        <w:t>do</w:t>
      </w:r>
      <w:r w:rsidR="009C53D8">
        <w:t xml:space="preserve"> Christian lesbian and gay people (see Andrew Yip’s scholarship)</w:t>
      </w:r>
      <w:r w:rsidR="002F4C09">
        <w:t>.  Some people have to leave the Church in order to find sexual and spiritual wholeness.  Worse, some contemplate leaving life: it is a great grief that young people who struggle with their sexuality not fitting “the norm” have a higher incidence of suicide ideation and attempt</w:t>
      </w:r>
      <w:r w:rsidR="0084139F">
        <w:t xml:space="preserve"> (Bancroft, 2009, 273-274)</w:t>
      </w:r>
      <w:r w:rsidR="002F4C09">
        <w:t xml:space="preserve">. </w:t>
      </w:r>
    </w:p>
    <w:p w:rsidR="00557A49" w:rsidRDefault="00557A49"/>
    <w:p w:rsidR="00AF68F8" w:rsidRDefault="003C562C">
      <w:pPr>
        <w:rPr>
          <w:rFonts w:cs="Calibri"/>
        </w:rPr>
      </w:pPr>
      <w:r>
        <w:t xml:space="preserve">Defining Christian sexual ethics as a set of </w:t>
      </w:r>
      <w:r>
        <w:rPr>
          <w:i/>
        </w:rPr>
        <w:t xml:space="preserve">Thou shalt </w:t>
      </w:r>
      <w:proofErr w:type="spellStart"/>
      <w:r>
        <w:rPr>
          <w:i/>
        </w:rPr>
        <w:t>nots</w:t>
      </w:r>
      <w:proofErr w:type="spellEnd"/>
      <w:r>
        <w:rPr>
          <w:i/>
        </w:rPr>
        <w:t xml:space="preserve"> </w:t>
      </w:r>
      <w:r>
        <w:t xml:space="preserve">is particularly problematic.  </w:t>
      </w:r>
      <w:r w:rsidR="00AF68F8">
        <w:t xml:space="preserve">There is evidence that highly restrictive, rigid attitudes to sexuality </w:t>
      </w:r>
      <w:r w:rsidR="004C7E00">
        <w:t xml:space="preserve">can make it difficult to </w:t>
      </w:r>
      <w:r w:rsidR="005E2578">
        <w:t>control</w:t>
      </w:r>
      <w:r w:rsidR="004C7E00">
        <w:t xml:space="preserve"> one’s sexual behaviour.  Kinsey Institute senior researcher John Bancroft reports that such attitudes “</w:t>
      </w:r>
      <w:r w:rsidR="004C7E00" w:rsidRPr="00CD3373">
        <w:rPr>
          <w:rFonts w:cs="Calibri"/>
        </w:rPr>
        <w:t>can result in the inability to conform, starting off a cycle of guilt, pain and compulsivity”</w:t>
      </w:r>
      <w:r w:rsidR="004C7E00">
        <w:rPr>
          <w:rFonts w:cs="Calibri"/>
        </w:rPr>
        <w:t xml:space="preserve"> (2009, 332).</w:t>
      </w:r>
      <w:r w:rsidR="00557793">
        <w:rPr>
          <w:rFonts w:cs="Calibri"/>
        </w:rPr>
        <w:t xml:space="preserve">  </w:t>
      </w:r>
      <w:r w:rsidR="00234142">
        <w:rPr>
          <w:rFonts w:cs="Calibri"/>
        </w:rPr>
        <w:t>Some Christians experience this in addiction to pornography.</w:t>
      </w:r>
    </w:p>
    <w:p w:rsidR="00D94957" w:rsidRDefault="00D94957">
      <w:pPr>
        <w:rPr>
          <w:rFonts w:cs="Calibri"/>
        </w:rPr>
      </w:pPr>
    </w:p>
    <w:p w:rsidR="00662253" w:rsidRPr="00662253" w:rsidRDefault="00662253">
      <w:pPr>
        <w:rPr>
          <w:rFonts w:cs="Calibri"/>
        </w:rPr>
      </w:pPr>
      <w:r>
        <w:rPr>
          <w:rFonts w:cs="Calibri"/>
        </w:rPr>
        <w:t xml:space="preserve">What can a Church do to foster sexual-spiritual integration?  For starters, we need to learn to break the silence and shame that surrounds the topic.  I was raised in the American Midwest.  You won’t find a more taciturn people when it comes to talking about sex.  The first time I gave a lecture on the topic I could feel the red begin at the bottom of my feet and rise to the top of my head.  All I could think was </w:t>
      </w:r>
      <w:proofErr w:type="gramStart"/>
      <w:r>
        <w:rPr>
          <w:rFonts w:cs="Calibri"/>
          <w:i/>
        </w:rPr>
        <w:t>What</w:t>
      </w:r>
      <w:proofErr w:type="gramEnd"/>
      <w:r>
        <w:rPr>
          <w:rFonts w:cs="Calibri"/>
          <w:i/>
        </w:rPr>
        <w:t xml:space="preserve"> would my mother think if she could hear me use these words, and in front of ch</w:t>
      </w:r>
      <w:r w:rsidR="005E2578">
        <w:rPr>
          <w:rFonts w:cs="Calibri"/>
          <w:i/>
        </w:rPr>
        <w:t>urch people?</w:t>
      </w:r>
      <w:r>
        <w:rPr>
          <w:rFonts w:cs="Calibri"/>
          <w:i/>
        </w:rPr>
        <w:t>!</w:t>
      </w:r>
      <w:r w:rsidR="005E2578">
        <w:rPr>
          <w:rFonts w:cs="Calibri"/>
          <w:i/>
        </w:rPr>
        <w:t>?</w:t>
      </w:r>
      <w:r>
        <w:rPr>
          <w:rFonts w:cs="Calibri"/>
          <w:i/>
        </w:rPr>
        <w:t xml:space="preserve">  </w:t>
      </w:r>
      <w:r>
        <w:rPr>
          <w:rFonts w:cs="Calibri"/>
        </w:rPr>
        <w:t>If I could learn</w:t>
      </w:r>
      <w:r w:rsidR="007036EB">
        <w:rPr>
          <w:rFonts w:cs="Calibri"/>
        </w:rPr>
        <w:t xml:space="preserve"> to talk about it, anyone can.  The real challenge is in creating environments and a vocabulary to talk about it safely and respectfully.  Most of the talk about sex in society at large is t</w:t>
      </w:r>
      <w:r w:rsidR="004C63E1">
        <w:rPr>
          <w:rFonts w:cs="Calibri"/>
        </w:rPr>
        <w:t>itillating or degrading.</w:t>
      </w:r>
    </w:p>
    <w:p w:rsidR="00D94957" w:rsidRDefault="00D94957"/>
    <w:p w:rsidR="004C63E1" w:rsidRDefault="004C63E1">
      <w:r>
        <w:t>The next step is to get educated.  The point of this series of articles is to provide some information and talking points.  Christian tradition has a complex history on the topic.  It is in the process of continuing to evolve dynamically.  I appreciate the struggle and courage of lesbian, gay and bisexual Christians who have stayed in the Church.  Their presence provokes us to ask hard questions:  Is sex really only about procreation?  If not, what is it about?</w:t>
      </w:r>
      <w:r w:rsidR="000C6854">
        <w:t xml:space="preserve">  Might there be something more that we have to learn about sex and God?</w:t>
      </w:r>
    </w:p>
    <w:p w:rsidR="000C6854" w:rsidRDefault="000C6854"/>
    <w:p w:rsidR="000C6854" w:rsidRDefault="000C6854">
      <w:r>
        <w:t xml:space="preserve">The link between sexuality and spirituality may provide the beginning of some answers, and a new way of looking at what the Church </w:t>
      </w:r>
      <w:r w:rsidR="005E2578">
        <w:t xml:space="preserve">can </w:t>
      </w:r>
      <w:r>
        <w:t xml:space="preserve">offer a hurting world on the topic.  Imagine a Christian sexual ethic that focuses not on genital activity and legal form, but on mutually respectful, potentially sacramental sexual expression that gives us insight into the love of God.  Sex that helps us </w:t>
      </w:r>
      <w:proofErr w:type="gramStart"/>
      <w:r>
        <w:t>grow</w:t>
      </w:r>
      <w:proofErr w:type="gramEnd"/>
      <w:r>
        <w:t xml:space="preserve"> in communion with God.  What a gift to the world that would be.</w:t>
      </w:r>
    </w:p>
    <w:p w:rsidR="002F4C09" w:rsidRDefault="00AF68F8">
      <w:r>
        <w:t xml:space="preserve"> </w:t>
      </w:r>
    </w:p>
    <w:p w:rsidR="007C58BF" w:rsidRDefault="007C58BF">
      <w:bookmarkStart w:id="0" w:name="_GoBack"/>
      <w:bookmarkEnd w:id="0"/>
    </w:p>
    <w:p w:rsidR="00872354" w:rsidRDefault="00872354">
      <w:r>
        <w:t>Carla A. Grosch-Miller, 2014</w:t>
      </w:r>
    </w:p>
    <w:p w:rsidR="00872354" w:rsidRDefault="00872354">
      <w:r>
        <w:t>cagroschmiller@yahoo.co.uk</w:t>
      </w:r>
    </w:p>
    <w:p w:rsidR="00872354" w:rsidRDefault="00872354"/>
    <w:p w:rsidR="004C7E00" w:rsidRPr="00A10E51" w:rsidRDefault="004C7E00" w:rsidP="004C7E00">
      <w:pPr>
        <w:ind w:left="720" w:hanging="720"/>
        <w:rPr>
          <w:rFonts w:ascii="Cambria" w:hAnsi="Cambria" w:cs="Calibri"/>
          <w:noProof/>
        </w:rPr>
      </w:pPr>
      <w:bookmarkStart w:id="1" w:name="_ENREF_8"/>
      <w:r w:rsidRPr="00A10E51">
        <w:rPr>
          <w:rFonts w:ascii="Cambria" w:hAnsi="Cambria" w:cs="Calibri"/>
          <w:noProof/>
        </w:rPr>
        <w:t xml:space="preserve">BANCROFT, J. 2009. </w:t>
      </w:r>
      <w:r w:rsidRPr="00A10E51">
        <w:rPr>
          <w:rFonts w:ascii="Cambria" w:hAnsi="Cambria" w:cs="Calibri"/>
          <w:i/>
          <w:noProof/>
        </w:rPr>
        <w:t xml:space="preserve">Human Sexuality and Its Problems, </w:t>
      </w:r>
      <w:r w:rsidRPr="00A10E51">
        <w:rPr>
          <w:rFonts w:ascii="Cambria" w:hAnsi="Cambria" w:cs="Calibri"/>
          <w:noProof/>
        </w:rPr>
        <w:t xml:space="preserve"> Oxford</w:t>
      </w:r>
      <w:r w:rsidR="00A80DD7">
        <w:rPr>
          <w:rFonts w:ascii="Cambria" w:hAnsi="Cambria" w:cs="Calibri"/>
          <w:noProof/>
        </w:rPr>
        <w:t>,</w:t>
      </w:r>
      <w:r w:rsidRPr="00A10E51">
        <w:rPr>
          <w:rFonts w:ascii="Cambria" w:hAnsi="Cambria" w:cs="Calibri"/>
          <w:noProof/>
        </w:rPr>
        <w:t xml:space="preserve"> Livingstone Elsevier.</w:t>
      </w:r>
      <w:bookmarkEnd w:id="1"/>
    </w:p>
    <w:p w:rsidR="004C7E00" w:rsidRDefault="004C7E00" w:rsidP="004C7E00">
      <w:pPr>
        <w:ind w:left="720" w:hanging="720"/>
        <w:rPr>
          <w:rFonts w:ascii="Cambria" w:hAnsi="Cambria" w:cs="Calibri"/>
          <w:noProof/>
        </w:rPr>
      </w:pPr>
      <w:bookmarkStart w:id="2" w:name="_ENREF_182"/>
      <w:bookmarkStart w:id="3" w:name="_ENREF_168"/>
    </w:p>
    <w:p w:rsidR="004C7E00" w:rsidRPr="00A10E51" w:rsidRDefault="004C7E00" w:rsidP="004C7E00">
      <w:pPr>
        <w:ind w:left="720" w:hanging="720"/>
        <w:rPr>
          <w:rFonts w:ascii="Cambria" w:hAnsi="Cambria" w:cs="Calibri"/>
          <w:noProof/>
        </w:rPr>
      </w:pPr>
      <w:bookmarkStart w:id="4" w:name="_ENREF_20"/>
      <w:r w:rsidRPr="00A10E51">
        <w:rPr>
          <w:rFonts w:ascii="Cambria" w:hAnsi="Cambria" w:cs="Calibri"/>
          <w:noProof/>
        </w:rPr>
        <w:lastRenderedPageBreak/>
        <w:t xml:space="preserve">CARR, D. M. 2003. </w:t>
      </w:r>
      <w:r w:rsidRPr="00A10E51">
        <w:rPr>
          <w:rFonts w:ascii="Cambria" w:hAnsi="Cambria" w:cs="Calibri"/>
          <w:i/>
          <w:noProof/>
        </w:rPr>
        <w:t xml:space="preserve">The Erotic Word: Sexuality, Spirituality, and the Bible, </w:t>
      </w:r>
      <w:r w:rsidRPr="00A10E51">
        <w:rPr>
          <w:rFonts w:ascii="Cambria" w:hAnsi="Cambria" w:cs="Calibri"/>
          <w:noProof/>
        </w:rPr>
        <w:t>Oxford, Oxford University Press.</w:t>
      </w:r>
      <w:bookmarkEnd w:id="4"/>
    </w:p>
    <w:p w:rsidR="004C7E00" w:rsidRDefault="004C7E00" w:rsidP="004C7E00">
      <w:pPr>
        <w:ind w:left="720" w:hanging="720"/>
        <w:rPr>
          <w:rFonts w:ascii="Cambria" w:hAnsi="Cambria" w:cs="Calibri"/>
          <w:noProof/>
        </w:rPr>
      </w:pPr>
    </w:p>
    <w:p w:rsidR="004C7E00" w:rsidRPr="004C7E00" w:rsidRDefault="004C7E00" w:rsidP="004C7E00">
      <w:pPr>
        <w:ind w:left="720" w:hanging="720"/>
        <w:rPr>
          <w:rFonts w:ascii="Cambria" w:hAnsi="Cambria" w:cs="Calibri"/>
          <w:noProof/>
        </w:rPr>
      </w:pPr>
      <w:r>
        <w:rPr>
          <w:rFonts w:ascii="Cambria" w:hAnsi="Cambria" w:cs="Calibri"/>
          <w:noProof/>
        </w:rPr>
        <w:t xml:space="preserve">IND, J. 2003.  </w:t>
      </w:r>
      <w:r>
        <w:rPr>
          <w:rFonts w:ascii="Cambria" w:hAnsi="Cambria" w:cs="Calibri"/>
          <w:i/>
          <w:noProof/>
        </w:rPr>
        <w:t xml:space="preserve">Memories of Bliss:  God, sex and us, </w:t>
      </w:r>
      <w:r>
        <w:rPr>
          <w:rFonts w:ascii="Cambria" w:hAnsi="Cambria" w:cs="Calibri"/>
          <w:noProof/>
        </w:rPr>
        <w:t xml:space="preserve"> London, SCM.</w:t>
      </w:r>
    </w:p>
    <w:p w:rsidR="004C7E00" w:rsidRDefault="004C7E00" w:rsidP="004C7E00">
      <w:pPr>
        <w:ind w:left="720" w:hanging="720"/>
        <w:rPr>
          <w:rFonts w:ascii="Cambria" w:hAnsi="Cambria" w:cs="Calibri"/>
          <w:noProof/>
        </w:rPr>
      </w:pPr>
    </w:p>
    <w:p w:rsidR="00072BF0" w:rsidRPr="00A10E51" w:rsidRDefault="00072BF0" w:rsidP="00072BF0">
      <w:pPr>
        <w:ind w:left="720" w:hanging="720"/>
        <w:rPr>
          <w:rFonts w:ascii="Cambria" w:hAnsi="Cambria" w:cs="Calibri"/>
          <w:noProof/>
        </w:rPr>
      </w:pPr>
      <w:bookmarkStart w:id="5" w:name="_ENREF_167"/>
      <w:r w:rsidRPr="00A10E51">
        <w:rPr>
          <w:rFonts w:ascii="Cambria" w:hAnsi="Cambria" w:cs="Calibri"/>
          <w:noProof/>
        </w:rPr>
        <w:t xml:space="preserve">SHARMA, S. 2011. </w:t>
      </w:r>
      <w:r w:rsidRPr="00A10E51">
        <w:rPr>
          <w:rFonts w:ascii="Cambria" w:hAnsi="Cambria" w:cs="Calibri"/>
          <w:i/>
          <w:noProof/>
        </w:rPr>
        <w:t xml:space="preserve">Good Girls, Good Sex: Women Talk about Church and Sexuality, </w:t>
      </w:r>
      <w:r w:rsidRPr="00A10E51">
        <w:rPr>
          <w:rFonts w:ascii="Cambria" w:hAnsi="Cambria" w:cs="Calibri"/>
          <w:noProof/>
        </w:rPr>
        <w:t>Halifax, Winnipeg, Fernwood Publishing.</w:t>
      </w:r>
      <w:bookmarkEnd w:id="5"/>
    </w:p>
    <w:p w:rsidR="00072BF0" w:rsidRDefault="00072BF0" w:rsidP="004C7E00">
      <w:pPr>
        <w:ind w:left="720" w:hanging="720"/>
        <w:rPr>
          <w:rFonts w:ascii="Cambria" w:hAnsi="Cambria" w:cs="Calibri"/>
          <w:noProof/>
        </w:rPr>
      </w:pPr>
    </w:p>
    <w:p w:rsidR="004C7E00" w:rsidRDefault="004C7E00" w:rsidP="004C7E00">
      <w:pPr>
        <w:ind w:left="720" w:hanging="720"/>
        <w:rPr>
          <w:rFonts w:ascii="Cambria" w:hAnsi="Cambria" w:cs="Calibri"/>
          <w:noProof/>
        </w:rPr>
      </w:pPr>
      <w:r w:rsidRPr="00A10E51">
        <w:rPr>
          <w:rFonts w:ascii="Cambria" w:hAnsi="Cambria" w:cs="Calibri"/>
          <w:noProof/>
        </w:rPr>
        <w:t xml:space="preserve">SHELDRAKE, P. 2001. </w:t>
      </w:r>
      <w:r w:rsidRPr="00A10E51">
        <w:rPr>
          <w:rFonts w:ascii="Cambria" w:hAnsi="Cambria" w:cs="Calibri"/>
          <w:i/>
          <w:noProof/>
        </w:rPr>
        <w:t xml:space="preserve">Befriending our Desires, </w:t>
      </w:r>
      <w:r w:rsidRPr="00A10E51">
        <w:rPr>
          <w:rFonts w:ascii="Cambria" w:hAnsi="Cambria" w:cs="Calibri"/>
          <w:noProof/>
        </w:rPr>
        <w:t>London, Darton, Longman and Todd.</w:t>
      </w:r>
      <w:bookmarkEnd w:id="3"/>
    </w:p>
    <w:p w:rsidR="004C7E00" w:rsidRPr="00A10E51" w:rsidRDefault="004C7E00" w:rsidP="004C7E00">
      <w:pPr>
        <w:ind w:left="720" w:hanging="720"/>
        <w:rPr>
          <w:rFonts w:ascii="Cambria" w:hAnsi="Cambria" w:cs="Calibri"/>
          <w:noProof/>
        </w:rPr>
      </w:pPr>
    </w:p>
    <w:p w:rsidR="004C7E00" w:rsidRDefault="004C7E00" w:rsidP="004C7E00">
      <w:pPr>
        <w:ind w:left="720" w:hanging="720"/>
        <w:rPr>
          <w:rFonts w:ascii="Cambria" w:hAnsi="Cambria" w:cs="Calibri"/>
          <w:noProof/>
        </w:rPr>
      </w:pPr>
      <w:r w:rsidRPr="00A10E51">
        <w:rPr>
          <w:rFonts w:ascii="Cambria" w:hAnsi="Cambria" w:cs="Calibri"/>
          <w:noProof/>
        </w:rPr>
        <w:t xml:space="preserve">TIMMERMAN, J. H. 1993. </w:t>
      </w:r>
      <w:r w:rsidRPr="00A10E51">
        <w:rPr>
          <w:rFonts w:ascii="Cambria" w:hAnsi="Cambria" w:cs="Calibri"/>
          <w:i/>
          <w:noProof/>
        </w:rPr>
        <w:t xml:space="preserve">Sexuality and Spiritual Growth, </w:t>
      </w:r>
      <w:r w:rsidRPr="00A10E51">
        <w:rPr>
          <w:rFonts w:ascii="Cambria" w:hAnsi="Cambria" w:cs="Calibri"/>
          <w:noProof/>
        </w:rPr>
        <w:t>New York, Crossroad.</w:t>
      </w:r>
      <w:bookmarkEnd w:id="2"/>
    </w:p>
    <w:p w:rsidR="004C7E00" w:rsidRPr="00A10E51" w:rsidRDefault="004C7E00" w:rsidP="004C7E00">
      <w:pPr>
        <w:ind w:left="720" w:hanging="720"/>
        <w:rPr>
          <w:rFonts w:ascii="Cambria" w:hAnsi="Cambria" w:cs="Calibri"/>
          <w:noProof/>
        </w:rPr>
      </w:pPr>
    </w:p>
    <w:p w:rsidR="004C7E00" w:rsidRDefault="004C7E00" w:rsidP="004C7E00">
      <w:pPr>
        <w:ind w:left="720" w:hanging="720"/>
        <w:rPr>
          <w:rFonts w:ascii="Cambria" w:hAnsi="Cambria" w:cs="Calibri"/>
          <w:noProof/>
        </w:rPr>
      </w:pPr>
      <w:bookmarkStart w:id="6" w:name="_ENREF_183"/>
      <w:r w:rsidRPr="00A10E51">
        <w:rPr>
          <w:rFonts w:ascii="Cambria" w:hAnsi="Cambria" w:cs="Calibri"/>
          <w:noProof/>
        </w:rPr>
        <w:t xml:space="preserve">TIMMERMAN, J. H. 2005. Sexuality and Spirituality. </w:t>
      </w:r>
      <w:r w:rsidRPr="00A10E51">
        <w:rPr>
          <w:rFonts w:ascii="Cambria" w:hAnsi="Cambria" w:cs="Calibri"/>
          <w:i/>
          <w:noProof/>
        </w:rPr>
        <w:t>In:</w:t>
      </w:r>
      <w:r w:rsidRPr="00A10E51">
        <w:rPr>
          <w:rFonts w:ascii="Cambria" w:hAnsi="Cambria" w:cs="Calibri"/>
          <w:noProof/>
        </w:rPr>
        <w:t xml:space="preserve"> SHELDRAKE, P. (ed.) </w:t>
      </w:r>
      <w:r w:rsidRPr="00A10E51">
        <w:rPr>
          <w:rFonts w:ascii="Cambria" w:hAnsi="Cambria" w:cs="Calibri"/>
          <w:i/>
          <w:noProof/>
        </w:rPr>
        <w:t>The New SCM Dictionary of Christian Spirituality.</w:t>
      </w:r>
      <w:r w:rsidRPr="00A10E51">
        <w:rPr>
          <w:rFonts w:ascii="Cambria" w:hAnsi="Cambria" w:cs="Calibri"/>
          <w:noProof/>
        </w:rPr>
        <w:t xml:space="preserve"> London: SCM Press.</w:t>
      </w:r>
      <w:bookmarkEnd w:id="6"/>
    </w:p>
    <w:p w:rsidR="0084139F" w:rsidRPr="00A10E51" w:rsidRDefault="0084139F" w:rsidP="004C7E00">
      <w:pPr>
        <w:ind w:left="720" w:hanging="720"/>
        <w:rPr>
          <w:rFonts w:ascii="Cambria" w:hAnsi="Cambria" w:cs="Calibri"/>
          <w:noProof/>
        </w:rPr>
      </w:pPr>
    </w:p>
    <w:p w:rsidR="0084139F" w:rsidRDefault="0084139F" w:rsidP="0084139F">
      <w:pPr>
        <w:ind w:left="720" w:hanging="720"/>
        <w:rPr>
          <w:rFonts w:ascii="Cambria" w:hAnsi="Cambria" w:cs="Calibri"/>
          <w:noProof/>
        </w:rPr>
      </w:pPr>
      <w:bookmarkStart w:id="7" w:name="_ENREF_203"/>
      <w:r w:rsidRPr="00A10E51">
        <w:rPr>
          <w:rFonts w:ascii="Cambria" w:hAnsi="Cambria" w:cs="Calibri"/>
          <w:noProof/>
        </w:rPr>
        <w:t xml:space="preserve">YIP, A. K. T. 2002. The Persistence of Faith among Nonheterosexual Christians: Evidence for the Neosecularization Thesis of Religious Transformation. </w:t>
      </w:r>
      <w:r w:rsidRPr="00A10E51">
        <w:rPr>
          <w:rFonts w:ascii="Cambria" w:hAnsi="Cambria" w:cs="Calibri"/>
          <w:i/>
          <w:noProof/>
        </w:rPr>
        <w:t>Journal for the Scientific Study of Religion,</w:t>
      </w:r>
      <w:r w:rsidRPr="00A10E51">
        <w:rPr>
          <w:rFonts w:ascii="Cambria" w:hAnsi="Cambria" w:cs="Calibri"/>
          <w:noProof/>
        </w:rPr>
        <w:t xml:space="preserve"> 41</w:t>
      </w:r>
      <w:r w:rsidRPr="00A10E51">
        <w:rPr>
          <w:rFonts w:ascii="Cambria" w:hAnsi="Cambria" w:cs="Calibri"/>
          <w:b/>
          <w:noProof/>
        </w:rPr>
        <w:t>,</w:t>
      </w:r>
      <w:r w:rsidRPr="00A10E51">
        <w:rPr>
          <w:rFonts w:ascii="Cambria" w:hAnsi="Cambria" w:cs="Calibri"/>
          <w:noProof/>
        </w:rPr>
        <w:t xml:space="preserve"> 199-212.</w:t>
      </w:r>
      <w:bookmarkEnd w:id="7"/>
    </w:p>
    <w:p w:rsidR="0084139F" w:rsidRPr="00A10E51" w:rsidRDefault="0084139F" w:rsidP="0084139F">
      <w:pPr>
        <w:ind w:left="720" w:hanging="720"/>
        <w:rPr>
          <w:rFonts w:ascii="Cambria" w:hAnsi="Cambria" w:cs="Calibri"/>
          <w:noProof/>
        </w:rPr>
      </w:pPr>
    </w:p>
    <w:p w:rsidR="0084139F" w:rsidRDefault="0084139F" w:rsidP="0084139F">
      <w:pPr>
        <w:ind w:left="720" w:hanging="720"/>
        <w:rPr>
          <w:rFonts w:ascii="Cambria" w:hAnsi="Cambria" w:cs="Calibri"/>
          <w:noProof/>
        </w:rPr>
      </w:pPr>
      <w:bookmarkStart w:id="8" w:name="_ENREF_204"/>
      <w:r w:rsidRPr="00A10E51">
        <w:rPr>
          <w:rFonts w:ascii="Cambria" w:hAnsi="Cambria" w:cs="Calibri"/>
          <w:noProof/>
        </w:rPr>
        <w:t xml:space="preserve">YIP, A. K. T. 2003. The Self as the Basis of Religious Faith: Spirituality of Gay, Lesbian and Bisexual Christians. </w:t>
      </w:r>
      <w:r w:rsidRPr="00A10E51">
        <w:rPr>
          <w:rFonts w:ascii="Cambria" w:hAnsi="Cambria" w:cs="Calibri"/>
          <w:i/>
          <w:noProof/>
        </w:rPr>
        <w:t>In:</w:t>
      </w:r>
      <w:r w:rsidRPr="00A10E51">
        <w:rPr>
          <w:rFonts w:ascii="Cambria" w:hAnsi="Cambria" w:cs="Calibri"/>
          <w:noProof/>
        </w:rPr>
        <w:t xml:space="preserve"> DAVIE, G., HEELAS, P. &amp; WOODHEAD, L. (eds.) </w:t>
      </w:r>
      <w:r w:rsidRPr="00A10E51">
        <w:rPr>
          <w:rFonts w:ascii="Cambria" w:hAnsi="Cambria" w:cs="Calibri"/>
          <w:i/>
          <w:noProof/>
        </w:rPr>
        <w:t>Predicting Religion: Christian, Secular and Alternative Futures.</w:t>
      </w:r>
      <w:r w:rsidRPr="00A10E51">
        <w:rPr>
          <w:rFonts w:ascii="Cambria" w:hAnsi="Cambria" w:cs="Calibri"/>
          <w:noProof/>
        </w:rPr>
        <w:t xml:space="preserve"> Aldershot: Ashgate.</w:t>
      </w:r>
      <w:bookmarkEnd w:id="8"/>
    </w:p>
    <w:p w:rsidR="0084139F" w:rsidRPr="00A10E51" w:rsidRDefault="0084139F" w:rsidP="0084139F">
      <w:pPr>
        <w:ind w:left="720" w:hanging="720"/>
        <w:rPr>
          <w:rFonts w:ascii="Cambria" w:hAnsi="Cambria" w:cs="Calibri"/>
          <w:noProof/>
        </w:rPr>
      </w:pPr>
    </w:p>
    <w:p w:rsidR="0084139F" w:rsidRPr="00A10E51" w:rsidRDefault="0084139F" w:rsidP="0084139F">
      <w:pPr>
        <w:ind w:left="720" w:hanging="720"/>
        <w:rPr>
          <w:rFonts w:ascii="Cambria" w:hAnsi="Cambria" w:cs="Calibri"/>
          <w:noProof/>
        </w:rPr>
      </w:pPr>
      <w:bookmarkStart w:id="9" w:name="_ENREF_205"/>
      <w:r w:rsidRPr="00A10E51">
        <w:rPr>
          <w:rFonts w:ascii="Cambria" w:hAnsi="Cambria" w:cs="Calibri"/>
          <w:noProof/>
        </w:rPr>
        <w:t xml:space="preserve">YIP, A. K. T. 2007. Changing Religion, Changing Faith: Reflections on the Transformative Strategies of Lesbian, Gay, and Bisexual Christians and Muslims. </w:t>
      </w:r>
      <w:r w:rsidRPr="00A10E51">
        <w:rPr>
          <w:rFonts w:ascii="Cambria" w:hAnsi="Cambria" w:cs="Calibri"/>
          <w:i/>
          <w:noProof/>
        </w:rPr>
        <w:t>Journal for Faith, Spirituality and Social Change,</w:t>
      </w:r>
      <w:r w:rsidRPr="00A10E51">
        <w:rPr>
          <w:rFonts w:ascii="Cambria" w:hAnsi="Cambria" w:cs="Calibri"/>
          <w:noProof/>
        </w:rPr>
        <w:t xml:space="preserve"> 1</w:t>
      </w:r>
      <w:r w:rsidRPr="00A10E51">
        <w:rPr>
          <w:rFonts w:ascii="Cambria" w:hAnsi="Cambria" w:cs="Calibri"/>
          <w:b/>
          <w:noProof/>
        </w:rPr>
        <w:t>,</w:t>
      </w:r>
      <w:r w:rsidRPr="00A10E51">
        <w:rPr>
          <w:rFonts w:ascii="Cambria" w:hAnsi="Cambria" w:cs="Calibri"/>
          <w:noProof/>
        </w:rPr>
        <w:t xml:space="preserve"> 83-95.</w:t>
      </w:r>
      <w:bookmarkEnd w:id="9"/>
    </w:p>
    <w:p w:rsidR="007C58BF" w:rsidRPr="004C7E00" w:rsidRDefault="007C58BF">
      <w:pPr>
        <w:rPr>
          <w:b/>
        </w:rPr>
      </w:pPr>
    </w:p>
    <w:sectPr w:rsidR="007C58BF" w:rsidRPr="004C7E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1F" w:rsidRDefault="0048531F" w:rsidP="007C58BF">
      <w:r>
        <w:separator/>
      </w:r>
    </w:p>
  </w:endnote>
  <w:endnote w:type="continuationSeparator" w:id="0">
    <w:p w:rsidR="0048531F" w:rsidRDefault="0048531F" w:rsidP="007C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1F" w:rsidRDefault="0048531F" w:rsidP="007C58BF">
      <w:r>
        <w:separator/>
      </w:r>
    </w:p>
  </w:footnote>
  <w:footnote w:type="continuationSeparator" w:id="0">
    <w:p w:rsidR="0048531F" w:rsidRDefault="0048531F" w:rsidP="007C5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E9"/>
    <w:rsid w:val="00072BF0"/>
    <w:rsid w:val="000C6854"/>
    <w:rsid w:val="00154E29"/>
    <w:rsid w:val="00234142"/>
    <w:rsid w:val="002C4B7F"/>
    <w:rsid w:val="002F4C09"/>
    <w:rsid w:val="003C562C"/>
    <w:rsid w:val="003C7CF5"/>
    <w:rsid w:val="003F04C7"/>
    <w:rsid w:val="003F0B0D"/>
    <w:rsid w:val="004726E9"/>
    <w:rsid w:val="0048531F"/>
    <w:rsid w:val="004C63E1"/>
    <w:rsid w:val="004C7E00"/>
    <w:rsid w:val="00534CA5"/>
    <w:rsid w:val="00557793"/>
    <w:rsid w:val="00557A49"/>
    <w:rsid w:val="005E2578"/>
    <w:rsid w:val="00662253"/>
    <w:rsid w:val="007036EB"/>
    <w:rsid w:val="007C58BF"/>
    <w:rsid w:val="008055BA"/>
    <w:rsid w:val="0084139F"/>
    <w:rsid w:val="00872354"/>
    <w:rsid w:val="008E39B4"/>
    <w:rsid w:val="009C53D8"/>
    <w:rsid w:val="00A421A6"/>
    <w:rsid w:val="00A56827"/>
    <w:rsid w:val="00A80DD7"/>
    <w:rsid w:val="00AF68F8"/>
    <w:rsid w:val="00B02379"/>
    <w:rsid w:val="00B96925"/>
    <w:rsid w:val="00CE4FF7"/>
    <w:rsid w:val="00D94957"/>
    <w:rsid w:val="00E34460"/>
    <w:rsid w:val="00F47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semiHidden="1" w:unhideWhenUsed="1"/>
    <w:lsdException w:name="footer" w:semiHidden="1" w:unhideWhenUsed="1"/>
    <w:lsdException w:name="caption" w:semiHidden="1" w:uiPriority="35" w:unhideWhenUsed="1" w:qFormat="1"/>
    <w:lsdException w:name="footnote reference" w:semiHidden="1" w:unhideWhenUsed="1"/>
    <w:lsdException w:name="page number" w:semiHidden="1" w:unhideWhenUsed="1"/>
    <w:lsdException w:name="Title" w:uiPriority="10" w:qFormat="1"/>
    <w:lsdException w:name="Default Paragraph Font" w:semiHidden="1" w:unhideWhenUsed="1"/>
    <w:lsdException w:name="Body Text" w:semiHidden="1" w:unhideWhenUsed="1"/>
    <w:lsdException w:name="Subtitle" w:uiPriority="11" w:qFormat="1"/>
    <w:lsdException w:name="Hyperlink" w:semiHidden="1" w:unhideWhenUsed="1"/>
    <w:lsdException w:name="Strong" w:uiPriority="22" w:qFormat="1"/>
    <w:lsdException w:name="Emphasis" w:uiPriority="20"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FF7"/>
    <w:pPr>
      <w:spacing w:after="0" w:line="240" w:lineRule="auto"/>
    </w:pPr>
  </w:style>
  <w:style w:type="paragraph" w:styleId="Heading1">
    <w:name w:val="heading 1"/>
    <w:basedOn w:val="Normal"/>
    <w:next w:val="Normal"/>
    <w:link w:val="Heading1Char"/>
    <w:uiPriority w:val="9"/>
    <w:qFormat/>
    <w:rsid w:val="00CE4F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E4F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CE4F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CE4F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CE4F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CE4F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4F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F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4F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F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4F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4F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E4F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E4F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E4F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4F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4F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4FF7"/>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CE4FF7"/>
    <w:rPr>
      <w:sz w:val="20"/>
      <w:szCs w:val="20"/>
    </w:rPr>
  </w:style>
  <w:style w:type="character" w:customStyle="1" w:styleId="FootnoteTextChar">
    <w:name w:val="Footnote Text Char"/>
    <w:basedOn w:val="DefaultParagraphFont"/>
    <w:link w:val="FootnoteText"/>
    <w:semiHidden/>
    <w:rsid w:val="00CE4FF7"/>
    <w:rPr>
      <w:sz w:val="20"/>
      <w:szCs w:val="20"/>
    </w:rPr>
  </w:style>
  <w:style w:type="paragraph" w:styleId="Footer">
    <w:name w:val="footer"/>
    <w:basedOn w:val="Normal"/>
    <w:link w:val="FooterChar"/>
    <w:rsid w:val="00CE4FF7"/>
    <w:pPr>
      <w:tabs>
        <w:tab w:val="center" w:pos="4320"/>
        <w:tab w:val="right" w:pos="8640"/>
      </w:tabs>
    </w:pPr>
  </w:style>
  <w:style w:type="character" w:customStyle="1" w:styleId="FooterChar">
    <w:name w:val="Footer Char"/>
    <w:basedOn w:val="DefaultParagraphFont"/>
    <w:link w:val="Footer"/>
    <w:rsid w:val="00CE4FF7"/>
  </w:style>
  <w:style w:type="paragraph" w:styleId="Caption">
    <w:name w:val="caption"/>
    <w:basedOn w:val="Normal"/>
    <w:next w:val="Normal"/>
    <w:uiPriority w:val="35"/>
    <w:semiHidden/>
    <w:unhideWhenUsed/>
    <w:qFormat/>
    <w:rsid w:val="00CE4FF7"/>
    <w:pPr>
      <w:spacing w:after="200"/>
    </w:pPr>
    <w:rPr>
      <w:b/>
      <w:bCs/>
      <w:color w:val="4F81BD" w:themeColor="accent1"/>
      <w:sz w:val="18"/>
      <w:szCs w:val="18"/>
    </w:rPr>
  </w:style>
  <w:style w:type="character" w:styleId="FootnoteReference">
    <w:name w:val="footnote reference"/>
    <w:basedOn w:val="DefaultParagraphFont"/>
    <w:semiHidden/>
    <w:rsid w:val="00CE4FF7"/>
    <w:rPr>
      <w:vertAlign w:val="superscript"/>
    </w:rPr>
  </w:style>
  <w:style w:type="character" w:styleId="PageNumber">
    <w:name w:val="page number"/>
    <w:basedOn w:val="DefaultParagraphFont"/>
    <w:rsid w:val="00CE4FF7"/>
  </w:style>
  <w:style w:type="paragraph" w:styleId="Title">
    <w:name w:val="Title"/>
    <w:basedOn w:val="Normal"/>
    <w:next w:val="Normal"/>
    <w:link w:val="TitleChar"/>
    <w:uiPriority w:val="10"/>
    <w:qFormat/>
    <w:rsid w:val="00CE4F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4FF7"/>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CE4FF7"/>
    <w:rPr>
      <w:i/>
      <w:iCs/>
    </w:rPr>
  </w:style>
  <w:style w:type="character" w:customStyle="1" w:styleId="BodyTextChar">
    <w:name w:val="Body Text Char"/>
    <w:basedOn w:val="DefaultParagraphFont"/>
    <w:link w:val="BodyText"/>
    <w:rsid w:val="00CE4FF7"/>
    <w:rPr>
      <w:i/>
      <w:iCs/>
    </w:rPr>
  </w:style>
  <w:style w:type="paragraph" w:styleId="Subtitle">
    <w:name w:val="Subtitle"/>
    <w:basedOn w:val="Normal"/>
    <w:next w:val="Normal"/>
    <w:link w:val="SubtitleChar"/>
    <w:uiPriority w:val="11"/>
    <w:qFormat/>
    <w:rsid w:val="00CE4FF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E4FF7"/>
    <w:rPr>
      <w:rFonts w:asciiTheme="majorHAnsi" w:eastAsiaTheme="majorEastAsia" w:hAnsiTheme="majorHAnsi" w:cstheme="majorBidi"/>
      <w:i/>
      <w:iCs/>
      <w:color w:val="4F81BD" w:themeColor="accent1"/>
      <w:spacing w:val="15"/>
      <w:szCs w:val="24"/>
    </w:rPr>
  </w:style>
  <w:style w:type="character" w:styleId="Hyperlink">
    <w:name w:val="Hyperlink"/>
    <w:basedOn w:val="DefaultParagraphFont"/>
    <w:rsid w:val="00CE4FF7"/>
    <w:rPr>
      <w:color w:val="0000FF"/>
      <w:u w:val="single"/>
    </w:rPr>
  </w:style>
  <w:style w:type="character" w:styleId="Strong">
    <w:name w:val="Strong"/>
    <w:basedOn w:val="DefaultParagraphFont"/>
    <w:uiPriority w:val="22"/>
    <w:qFormat/>
    <w:rsid w:val="00CE4FF7"/>
    <w:rPr>
      <w:b/>
      <w:bCs/>
    </w:rPr>
  </w:style>
  <w:style w:type="character" w:styleId="Emphasis">
    <w:name w:val="Emphasis"/>
    <w:basedOn w:val="DefaultParagraphFont"/>
    <w:uiPriority w:val="20"/>
    <w:qFormat/>
    <w:rsid w:val="00CE4FF7"/>
    <w:rPr>
      <w:i/>
      <w:iCs/>
    </w:rPr>
  </w:style>
  <w:style w:type="paragraph" w:styleId="DocumentMap">
    <w:name w:val="Document Map"/>
    <w:basedOn w:val="Normal"/>
    <w:link w:val="DocumentMapChar"/>
    <w:semiHidden/>
    <w:rsid w:val="00CE4F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E4FF7"/>
    <w:rPr>
      <w:rFonts w:ascii="Tahoma" w:hAnsi="Tahoma" w:cs="Tahoma"/>
      <w:sz w:val="20"/>
      <w:szCs w:val="20"/>
      <w:shd w:val="clear" w:color="auto" w:fill="000080"/>
    </w:rPr>
  </w:style>
  <w:style w:type="paragraph" w:styleId="NormalWeb">
    <w:name w:val="Normal (Web)"/>
    <w:basedOn w:val="Normal"/>
    <w:rsid w:val="00CE4FF7"/>
    <w:pPr>
      <w:spacing w:before="100" w:beforeAutospacing="1" w:after="100" w:afterAutospacing="1"/>
    </w:pPr>
    <w:rPr>
      <w:lang w:val="en-US"/>
    </w:rPr>
  </w:style>
  <w:style w:type="paragraph" w:styleId="BalloonText">
    <w:name w:val="Balloon Text"/>
    <w:basedOn w:val="Normal"/>
    <w:link w:val="BalloonTextChar"/>
    <w:semiHidden/>
    <w:rsid w:val="00CE4FF7"/>
    <w:rPr>
      <w:rFonts w:ascii="Tahoma" w:hAnsi="Tahoma" w:cs="Tahoma"/>
      <w:sz w:val="16"/>
      <w:szCs w:val="16"/>
    </w:rPr>
  </w:style>
  <w:style w:type="character" w:customStyle="1" w:styleId="BalloonTextChar">
    <w:name w:val="Balloon Text Char"/>
    <w:basedOn w:val="DefaultParagraphFont"/>
    <w:link w:val="BalloonText"/>
    <w:semiHidden/>
    <w:rsid w:val="00CE4FF7"/>
    <w:rPr>
      <w:rFonts w:ascii="Tahoma" w:hAnsi="Tahoma" w:cs="Tahoma"/>
      <w:sz w:val="16"/>
      <w:szCs w:val="16"/>
    </w:rPr>
  </w:style>
  <w:style w:type="paragraph" w:styleId="NoSpacing">
    <w:name w:val="No Spacing"/>
    <w:uiPriority w:val="1"/>
    <w:qFormat/>
    <w:rsid w:val="00CE4FF7"/>
    <w:pPr>
      <w:spacing w:after="0" w:line="240" w:lineRule="auto"/>
    </w:pPr>
  </w:style>
  <w:style w:type="paragraph" w:styleId="ListParagraph">
    <w:name w:val="List Paragraph"/>
    <w:basedOn w:val="Normal"/>
    <w:uiPriority w:val="34"/>
    <w:qFormat/>
    <w:rsid w:val="00CE4FF7"/>
    <w:pPr>
      <w:ind w:left="720"/>
      <w:contextualSpacing/>
    </w:pPr>
  </w:style>
  <w:style w:type="paragraph" w:styleId="Quote">
    <w:name w:val="Quote"/>
    <w:basedOn w:val="Normal"/>
    <w:next w:val="Normal"/>
    <w:link w:val="QuoteChar"/>
    <w:autoRedefine/>
    <w:uiPriority w:val="29"/>
    <w:qFormat/>
    <w:rsid w:val="00A421A6"/>
    <w:pPr>
      <w:ind w:left="720"/>
    </w:pPr>
    <w:rPr>
      <w:i/>
      <w:iCs/>
      <w:color w:val="000000" w:themeColor="text1"/>
    </w:rPr>
  </w:style>
  <w:style w:type="character" w:customStyle="1" w:styleId="QuoteChar">
    <w:name w:val="Quote Char"/>
    <w:basedOn w:val="DefaultParagraphFont"/>
    <w:link w:val="Quote"/>
    <w:uiPriority w:val="29"/>
    <w:rsid w:val="00A421A6"/>
    <w:rPr>
      <w:i/>
      <w:iCs/>
      <w:color w:val="000000" w:themeColor="text1"/>
    </w:rPr>
  </w:style>
  <w:style w:type="paragraph" w:styleId="IntenseQuote">
    <w:name w:val="Intense Quote"/>
    <w:basedOn w:val="Normal"/>
    <w:next w:val="Normal"/>
    <w:link w:val="IntenseQuoteChar"/>
    <w:uiPriority w:val="30"/>
    <w:qFormat/>
    <w:rsid w:val="00CE4F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4FF7"/>
    <w:rPr>
      <w:b/>
      <w:bCs/>
      <w:i/>
      <w:iCs/>
      <w:color w:val="4F81BD" w:themeColor="accent1"/>
    </w:rPr>
  </w:style>
  <w:style w:type="character" w:styleId="SubtleEmphasis">
    <w:name w:val="Subtle Emphasis"/>
    <w:basedOn w:val="DefaultParagraphFont"/>
    <w:uiPriority w:val="19"/>
    <w:qFormat/>
    <w:rsid w:val="00CE4FF7"/>
    <w:rPr>
      <w:i/>
      <w:iCs/>
      <w:color w:val="808080" w:themeColor="text1" w:themeTint="7F"/>
    </w:rPr>
  </w:style>
  <w:style w:type="character" w:styleId="IntenseEmphasis">
    <w:name w:val="Intense Emphasis"/>
    <w:basedOn w:val="DefaultParagraphFont"/>
    <w:uiPriority w:val="21"/>
    <w:qFormat/>
    <w:rsid w:val="00CE4FF7"/>
    <w:rPr>
      <w:b/>
      <w:bCs/>
      <w:i/>
      <w:iCs/>
      <w:color w:val="4F81BD" w:themeColor="accent1"/>
    </w:rPr>
  </w:style>
  <w:style w:type="character" w:styleId="SubtleReference">
    <w:name w:val="Subtle Reference"/>
    <w:basedOn w:val="DefaultParagraphFont"/>
    <w:uiPriority w:val="31"/>
    <w:qFormat/>
    <w:rsid w:val="00CE4FF7"/>
    <w:rPr>
      <w:smallCaps/>
      <w:color w:val="C0504D" w:themeColor="accent2"/>
      <w:u w:val="single"/>
    </w:rPr>
  </w:style>
  <w:style w:type="character" w:styleId="IntenseReference">
    <w:name w:val="Intense Reference"/>
    <w:basedOn w:val="DefaultParagraphFont"/>
    <w:uiPriority w:val="32"/>
    <w:qFormat/>
    <w:rsid w:val="00CE4FF7"/>
    <w:rPr>
      <w:b/>
      <w:bCs/>
      <w:smallCaps/>
      <w:color w:val="C0504D" w:themeColor="accent2"/>
      <w:spacing w:val="5"/>
      <w:u w:val="single"/>
    </w:rPr>
  </w:style>
  <w:style w:type="character" w:styleId="BookTitle">
    <w:name w:val="Book Title"/>
    <w:basedOn w:val="DefaultParagraphFont"/>
    <w:uiPriority w:val="33"/>
    <w:qFormat/>
    <w:rsid w:val="00CE4FF7"/>
    <w:rPr>
      <w:b/>
      <w:bCs/>
      <w:smallCaps/>
      <w:spacing w:val="5"/>
    </w:rPr>
  </w:style>
  <w:style w:type="paragraph" w:styleId="TOCHeading">
    <w:name w:val="TOC Heading"/>
    <w:basedOn w:val="Heading1"/>
    <w:next w:val="Normal"/>
    <w:uiPriority w:val="39"/>
    <w:semiHidden/>
    <w:unhideWhenUsed/>
    <w:qFormat/>
    <w:rsid w:val="00CE4FF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semiHidden="1" w:unhideWhenUsed="1"/>
    <w:lsdException w:name="footer" w:semiHidden="1" w:unhideWhenUsed="1"/>
    <w:lsdException w:name="caption" w:semiHidden="1" w:uiPriority="35" w:unhideWhenUsed="1" w:qFormat="1"/>
    <w:lsdException w:name="footnote reference" w:semiHidden="1" w:unhideWhenUsed="1"/>
    <w:lsdException w:name="page number" w:semiHidden="1" w:unhideWhenUsed="1"/>
    <w:lsdException w:name="Title" w:uiPriority="10" w:qFormat="1"/>
    <w:lsdException w:name="Default Paragraph Font" w:semiHidden="1" w:unhideWhenUsed="1"/>
    <w:lsdException w:name="Body Text" w:semiHidden="1" w:unhideWhenUsed="1"/>
    <w:lsdException w:name="Subtitle" w:uiPriority="11" w:qFormat="1"/>
    <w:lsdException w:name="Hyperlink" w:semiHidden="1" w:unhideWhenUsed="1"/>
    <w:lsdException w:name="Strong" w:uiPriority="22" w:qFormat="1"/>
    <w:lsdException w:name="Emphasis" w:uiPriority="20"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FF7"/>
    <w:pPr>
      <w:spacing w:after="0" w:line="240" w:lineRule="auto"/>
    </w:pPr>
  </w:style>
  <w:style w:type="paragraph" w:styleId="Heading1">
    <w:name w:val="heading 1"/>
    <w:basedOn w:val="Normal"/>
    <w:next w:val="Normal"/>
    <w:link w:val="Heading1Char"/>
    <w:uiPriority w:val="9"/>
    <w:qFormat/>
    <w:rsid w:val="00CE4F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E4F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CE4F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CE4F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CE4F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CE4F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4F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F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4F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F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4F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4F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E4F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E4F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E4F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4F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4F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4FF7"/>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semiHidden/>
    <w:rsid w:val="00CE4FF7"/>
    <w:rPr>
      <w:sz w:val="20"/>
      <w:szCs w:val="20"/>
    </w:rPr>
  </w:style>
  <w:style w:type="character" w:customStyle="1" w:styleId="FootnoteTextChar">
    <w:name w:val="Footnote Text Char"/>
    <w:basedOn w:val="DefaultParagraphFont"/>
    <w:link w:val="FootnoteText"/>
    <w:semiHidden/>
    <w:rsid w:val="00CE4FF7"/>
    <w:rPr>
      <w:sz w:val="20"/>
      <w:szCs w:val="20"/>
    </w:rPr>
  </w:style>
  <w:style w:type="paragraph" w:styleId="Footer">
    <w:name w:val="footer"/>
    <w:basedOn w:val="Normal"/>
    <w:link w:val="FooterChar"/>
    <w:rsid w:val="00CE4FF7"/>
    <w:pPr>
      <w:tabs>
        <w:tab w:val="center" w:pos="4320"/>
        <w:tab w:val="right" w:pos="8640"/>
      </w:tabs>
    </w:pPr>
  </w:style>
  <w:style w:type="character" w:customStyle="1" w:styleId="FooterChar">
    <w:name w:val="Footer Char"/>
    <w:basedOn w:val="DefaultParagraphFont"/>
    <w:link w:val="Footer"/>
    <w:rsid w:val="00CE4FF7"/>
  </w:style>
  <w:style w:type="paragraph" w:styleId="Caption">
    <w:name w:val="caption"/>
    <w:basedOn w:val="Normal"/>
    <w:next w:val="Normal"/>
    <w:uiPriority w:val="35"/>
    <w:semiHidden/>
    <w:unhideWhenUsed/>
    <w:qFormat/>
    <w:rsid w:val="00CE4FF7"/>
    <w:pPr>
      <w:spacing w:after="200"/>
    </w:pPr>
    <w:rPr>
      <w:b/>
      <w:bCs/>
      <w:color w:val="4F81BD" w:themeColor="accent1"/>
      <w:sz w:val="18"/>
      <w:szCs w:val="18"/>
    </w:rPr>
  </w:style>
  <w:style w:type="character" w:styleId="FootnoteReference">
    <w:name w:val="footnote reference"/>
    <w:basedOn w:val="DefaultParagraphFont"/>
    <w:semiHidden/>
    <w:rsid w:val="00CE4FF7"/>
    <w:rPr>
      <w:vertAlign w:val="superscript"/>
    </w:rPr>
  </w:style>
  <w:style w:type="character" w:styleId="PageNumber">
    <w:name w:val="page number"/>
    <w:basedOn w:val="DefaultParagraphFont"/>
    <w:rsid w:val="00CE4FF7"/>
  </w:style>
  <w:style w:type="paragraph" w:styleId="Title">
    <w:name w:val="Title"/>
    <w:basedOn w:val="Normal"/>
    <w:next w:val="Normal"/>
    <w:link w:val="TitleChar"/>
    <w:uiPriority w:val="10"/>
    <w:qFormat/>
    <w:rsid w:val="00CE4F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4FF7"/>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CE4FF7"/>
    <w:rPr>
      <w:i/>
      <w:iCs/>
    </w:rPr>
  </w:style>
  <w:style w:type="character" w:customStyle="1" w:styleId="BodyTextChar">
    <w:name w:val="Body Text Char"/>
    <w:basedOn w:val="DefaultParagraphFont"/>
    <w:link w:val="BodyText"/>
    <w:rsid w:val="00CE4FF7"/>
    <w:rPr>
      <w:i/>
      <w:iCs/>
    </w:rPr>
  </w:style>
  <w:style w:type="paragraph" w:styleId="Subtitle">
    <w:name w:val="Subtitle"/>
    <w:basedOn w:val="Normal"/>
    <w:next w:val="Normal"/>
    <w:link w:val="SubtitleChar"/>
    <w:uiPriority w:val="11"/>
    <w:qFormat/>
    <w:rsid w:val="00CE4FF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E4FF7"/>
    <w:rPr>
      <w:rFonts w:asciiTheme="majorHAnsi" w:eastAsiaTheme="majorEastAsia" w:hAnsiTheme="majorHAnsi" w:cstheme="majorBidi"/>
      <w:i/>
      <w:iCs/>
      <w:color w:val="4F81BD" w:themeColor="accent1"/>
      <w:spacing w:val="15"/>
      <w:szCs w:val="24"/>
    </w:rPr>
  </w:style>
  <w:style w:type="character" w:styleId="Hyperlink">
    <w:name w:val="Hyperlink"/>
    <w:basedOn w:val="DefaultParagraphFont"/>
    <w:rsid w:val="00CE4FF7"/>
    <w:rPr>
      <w:color w:val="0000FF"/>
      <w:u w:val="single"/>
    </w:rPr>
  </w:style>
  <w:style w:type="character" w:styleId="Strong">
    <w:name w:val="Strong"/>
    <w:basedOn w:val="DefaultParagraphFont"/>
    <w:uiPriority w:val="22"/>
    <w:qFormat/>
    <w:rsid w:val="00CE4FF7"/>
    <w:rPr>
      <w:b/>
      <w:bCs/>
    </w:rPr>
  </w:style>
  <w:style w:type="character" w:styleId="Emphasis">
    <w:name w:val="Emphasis"/>
    <w:basedOn w:val="DefaultParagraphFont"/>
    <w:uiPriority w:val="20"/>
    <w:qFormat/>
    <w:rsid w:val="00CE4FF7"/>
    <w:rPr>
      <w:i/>
      <w:iCs/>
    </w:rPr>
  </w:style>
  <w:style w:type="paragraph" w:styleId="DocumentMap">
    <w:name w:val="Document Map"/>
    <w:basedOn w:val="Normal"/>
    <w:link w:val="DocumentMapChar"/>
    <w:semiHidden/>
    <w:rsid w:val="00CE4F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E4FF7"/>
    <w:rPr>
      <w:rFonts w:ascii="Tahoma" w:hAnsi="Tahoma" w:cs="Tahoma"/>
      <w:sz w:val="20"/>
      <w:szCs w:val="20"/>
      <w:shd w:val="clear" w:color="auto" w:fill="000080"/>
    </w:rPr>
  </w:style>
  <w:style w:type="paragraph" w:styleId="NormalWeb">
    <w:name w:val="Normal (Web)"/>
    <w:basedOn w:val="Normal"/>
    <w:rsid w:val="00CE4FF7"/>
    <w:pPr>
      <w:spacing w:before="100" w:beforeAutospacing="1" w:after="100" w:afterAutospacing="1"/>
    </w:pPr>
    <w:rPr>
      <w:lang w:val="en-US"/>
    </w:rPr>
  </w:style>
  <w:style w:type="paragraph" w:styleId="BalloonText">
    <w:name w:val="Balloon Text"/>
    <w:basedOn w:val="Normal"/>
    <w:link w:val="BalloonTextChar"/>
    <w:semiHidden/>
    <w:rsid w:val="00CE4FF7"/>
    <w:rPr>
      <w:rFonts w:ascii="Tahoma" w:hAnsi="Tahoma" w:cs="Tahoma"/>
      <w:sz w:val="16"/>
      <w:szCs w:val="16"/>
    </w:rPr>
  </w:style>
  <w:style w:type="character" w:customStyle="1" w:styleId="BalloonTextChar">
    <w:name w:val="Balloon Text Char"/>
    <w:basedOn w:val="DefaultParagraphFont"/>
    <w:link w:val="BalloonText"/>
    <w:semiHidden/>
    <w:rsid w:val="00CE4FF7"/>
    <w:rPr>
      <w:rFonts w:ascii="Tahoma" w:hAnsi="Tahoma" w:cs="Tahoma"/>
      <w:sz w:val="16"/>
      <w:szCs w:val="16"/>
    </w:rPr>
  </w:style>
  <w:style w:type="paragraph" w:styleId="NoSpacing">
    <w:name w:val="No Spacing"/>
    <w:uiPriority w:val="1"/>
    <w:qFormat/>
    <w:rsid w:val="00CE4FF7"/>
    <w:pPr>
      <w:spacing w:after="0" w:line="240" w:lineRule="auto"/>
    </w:pPr>
  </w:style>
  <w:style w:type="paragraph" w:styleId="ListParagraph">
    <w:name w:val="List Paragraph"/>
    <w:basedOn w:val="Normal"/>
    <w:uiPriority w:val="34"/>
    <w:qFormat/>
    <w:rsid w:val="00CE4FF7"/>
    <w:pPr>
      <w:ind w:left="720"/>
      <w:contextualSpacing/>
    </w:pPr>
  </w:style>
  <w:style w:type="paragraph" w:styleId="Quote">
    <w:name w:val="Quote"/>
    <w:basedOn w:val="Normal"/>
    <w:next w:val="Normal"/>
    <w:link w:val="QuoteChar"/>
    <w:autoRedefine/>
    <w:uiPriority w:val="29"/>
    <w:qFormat/>
    <w:rsid w:val="00A421A6"/>
    <w:pPr>
      <w:ind w:left="720"/>
    </w:pPr>
    <w:rPr>
      <w:i/>
      <w:iCs/>
      <w:color w:val="000000" w:themeColor="text1"/>
    </w:rPr>
  </w:style>
  <w:style w:type="character" w:customStyle="1" w:styleId="QuoteChar">
    <w:name w:val="Quote Char"/>
    <w:basedOn w:val="DefaultParagraphFont"/>
    <w:link w:val="Quote"/>
    <w:uiPriority w:val="29"/>
    <w:rsid w:val="00A421A6"/>
    <w:rPr>
      <w:i/>
      <w:iCs/>
      <w:color w:val="000000" w:themeColor="text1"/>
    </w:rPr>
  </w:style>
  <w:style w:type="paragraph" w:styleId="IntenseQuote">
    <w:name w:val="Intense Quote"/>
    <w:basedOn w:val="Normal"/>
    <w:next w:val="Normal"/>
    <w:link w:val="IntenseQuoteChar"/>
    <w:uiPriority w:val="30"/>
    <w:qFormat/>
    <w:rsid w:val="00CE4F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4FF7"/>
    <w:rPr>
      <w:b/>
      <w:bCs/>
      <w:i/>
      <w:iCs/>
      <w:color w:val="4F81BD" w:themeColor="accent1"/>
    </w:rPr>
  </w:style>
  <w:style w:type="character" w:styleId="SubtleEmphasis">
    <w:name w:val="Subtle Emphasis"/>
    <w:basedOn w:val="DefaultParagraphFont"/>
    <w:uiPriority w:val="19"/>
    <w:qFormat/>
    <w:rsid w:val="00CE4FF7"/>
    <w:rPr>
      <w:i/>
      <w:iCs/>
      <w:color w:val="808080" w:themeColor="text1" w:themeTint="7F"/>
    </w:rPr>
  </w:style>
  <w:style w:type="character" w:styleId="IntenseEmphasis">
    <w:name w:val="Intense Emphasis"/>
    <w:basedOn w:val="DefaultParagraphFont"/>
    <w:uiPriority w:val="21"/>
    <w:qFormat/>
    <w:rsid w:val="00CE4FF7"/>
    <w:rPr>
      <w:b/>
      <w:bCs/>
      <w:i/>
      <w:iCs/>
      <w:color w:val="4F81BD" w:themeColor="accent1"/>
    </w:rPr>
  </w:style>
  <w:style w:type="character" w:styleId="SubtleReference">
    <w:name w:val="Subtle Reference"/>
    <w:basedOn w:val="DefaultParagraphFont"/>
    <w:uiPriority w:val="31"/>
    <w:qFormat/>
    <w:rsid w:val="00CE4FF7"/>
    <w:rPr>
      <w:smallCaps/>
      <w:color w:val="C0504D" w:themeColor="accent2"/>
      <w:u w:val="single"/>
    </w:rPr>
  </w:style>
  <w:style w:type="character" w:styleId="IntenseReference">
    <w:name w:val="Intense Reference"/>
    <w:basedOn w:val="DefaultParagraphFont"/>
    <w:uiPriority w:val="32"/>
    <w:qFormat/>
    <w:rsid w:val="00CE4FF7"/>
    <w:rPr>
      <w:b/>
      <w:bCs/>
      <w:smallCaps/>
      <w:color w:val="C0504D" w:themeColor="accent2"/>
      <w:spacing w:val="5"/>
      <w:u w:val="single"/>
    </w:rPr>
  </w:style>
  <w:style w:type="character" w:styleId="BookTitle">
    <w:name w:val="Book Title"/>
    <w:basedOn w:val="DefaultParagraphFont"/>
    <w:uiPriority w:val="33"/>
    <w:qFormat/>
    <w:rsid w:val="00CE4FF7"/>
    <w:rPr>
      <w:b/>
      <w:bCs/>
      <w:smallCaps/>
      <w:spacing w:val="5"/>
    </w:rPr>
  </w:style>
  <w:style w:type="paragraph" w:styleId="TOCHeading">
    <w:name w:val="TOC Heading"/>
    <w:basedOn w:val="Heading1"/>
    <w:next w:val="Normal"/>
    <w:uiPriority w:val="39"/>
    <w:semiHidden/>
    <w:unhideWhenUsed/>
    <w:qFormat/>
    <w:rsid w:val="00CE4F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18</cp:revision>
  <dcterms:created xsi:type="dcterms:W3CDTF">2014-11-15T11:33:00Z</dcterms:created>
  <dcterms:modified xsi:type="dcterms:W3CDTF">2014-11-15T15:29:00Z</dcterms:modified>
</cp:coreProperties>
</file>